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E37FF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E37FF">
        <w:rPr>
          <w:rFonts w:ascii="Times New Roman" w:hAnsi="Times New Roman"/>
          <w:noProof/>
        </w:rPr>
        <w:t>304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E37FF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E37FF">
        <w:rPr>
          <w:b/>
          <w:i/>
          <w:color w:val="000000"/>
          <w:sz w:val="22"/>
          <w:szCs w:val="22"/>
        </w:rPr>
        <w:t>Реконструкция КТП-250 6/0,4 кВ № 1913 с заменой на КТП-630 6/0,4 кВ ПС 35 кВ № 199 Дубки, в т. ч. ПИР, МО, г.о. Орехово-Зуевский, д. Никулино, 50:24:0010104:397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E37FF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E37FF">
        <w:rPr>
          <w:rFonts w:ascii="Times New Roman" w:hAnsi="Times New Roman" w:cs="Times New Roman"/>
          <w:b/>
          <w:snapToGrid w:val="0"/>
        </w:rPr>
        <w:t>Реконструкция КТП-250 6/0,4 кВ № 1913 с заменой на КТП-630 6/0,4 кВ ПС 35 кВ № 199 Дубки, в т. ч. ПИР, МО, г.о. Орехово-Зуевский, д. Никулино, 50:24:0010104:397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E37FF">
        <w:rPr>
          <w:b/>
          <w:color w:val="000000"/>
          <w:sz w:val="22"/>
          <w:szCs w:val="22"/>
        </w:rPr>
        <w:t>25.01.2027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E37FF">
        <w:rPr>
          <w:rFonts w:ascii="Times New Roman" w:hAnsi="Times New Roman" w:cs="Times New Roman"/>
          <w:b/>
        </w:rPr>
        <w:t>227648,0594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E37FF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E37F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CE37FF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E37FF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FF" w:rsidRDefault="00CE37FF" w:rsidP="0018059F">
      <w:pPr>
        <w:spacing w:after="0" w:line="240" w:lineRule="auto"/>
      </w:pPr>
      <w:r>
        <w:separator/>
      </w:r>
    </w:p>
  </w:endnote>
  <w:endnote w:type="continuationSeparator" w:id="0">
    <w:p w:rsidR="00CE37FF" w:rsidRDefault="00CE37F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E37F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FF" w:rsidRDefault="00CE37FF" w:rsidP="0018059F">
      <w:pPr>
        <w:spacing w:after="0" w:line="240" w:lineRule="auto"/>
      </w:pPr>
      <w:r>
        <w:separator/>
      </w:r>
    </w:p>
  </w:footnote>
  <w:footnote w:type="continuationSeparator" w:id="0">
    <w:p w:rsidR="00CE37FF" w:rsidRDefault="00CE37F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E37FF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E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3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